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Fonts w:ascii="Cambria" w:cs="Cambria" w:eastAsia="Cambria" w:hAnsi="Cambria"/>
          <w:color w:val="17365d"/>
          <w:sz w:val="48"/>
          <w:szCs w:val="48"/>
          <w:rtl w:val="0"/>
        </w:rPr>
        <w:t xml:space="preserve">Wytyczne branżowe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Wytyczne elektryczne: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Inwestor we własnym zakresie musi doprowadzić napięcie zasilające 230V/AC do szaf urządzeń DSO.  Każda z szaf dźwiękowego systemu ostrzegawczego wymaga osobnego podłączenia do sieci elektroenergetycznej (jedno lub trójfazowej - w zależności od zastosowanej szafy) zabezpieczonej wyłącznikiem  nadmiarowo prądowym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S303 B16A (S301 B16A - dla jednej fazy) . Do złącz zasilania należy podłączyć przewody o przekroju 4mm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 wiąże się z koniecznością doprowadzenia przewodu niepalnego 5x4mm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pomieszczeniu ochrony powinno być oświetlenie o natężeniu od 300 do 500lx, oraz oświetlenie awaryjne umożliwiające użytkowanie systemu w przypadku braku zasilania.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Wytyczne branży budowlanej: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Zaleca się, aby pomieszczenie w którym znajduję się szafa systemu DSO stanowiło wydzieloną ogniowo strefę pożarową.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Poziom tła w pomieszczeniu, w którym znajduje się mikrofon strażaka, powinien być jak najmniejszy. W zawiązku z powyższym należy tak zaprojektować pomieszczenie lub w przypadku istniejącego  wykonać niezbędną izolację akustyczną, aby poziom tła wynosił maksymalnie 40dBA. 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Mając na uwadze jak najsprawniejsze działanie systemu DSO w jego pobliżu nie powinno być źródeł zakłóceń elektromagnetycznych, oraz powinno być nadzorowane przez system sygnalizacji pożaru.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Według polskiej normy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PN-EN 60849:2001 „Dźwiękowe Systemy Ostrzegawcze”,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 zainstalowaniu całego systemu na obiekcie zaleca się wykonanie badania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Zrozumiałości mowy.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 cel przyjmujemy osiągnięcie zrozumiałości mowy nie mniejszej od 0,7 CIS na wspólnej skali zrozumiałości mowy - co odpowiada współczynnikowi RASTI nie mniejszemu niż 0,5.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Aby było to możliwe maksymalny poziom tła akustycznego nie może przekraczać: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a) pomieszczenia techniczne głośne ( np. maszynownie wind ) - 70 dB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b) pomieszczenia techniczne ciche (np. magazyny spożywcze ) - 65 dB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c) ciągi komunikacyjne, sale rekreacyjne, sale sprzedaży, sklepy - 65 dB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d) pomieszczenia biurowe - 60 dB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tl w:val="0"/>
        </w:rPr>
        <w:t xml:space="preserve"> 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color w:val="000000"/>
        <w:sz w:val="24"/>
        <w:szCs w:val="24"/>
      </w:rPr>
    </w:rPrDefault>
    <w:pPrDefault>
      <w:pPr>
        <w:keepNext w:val="0"/>
        <w:keepLines w:val="0"/>
        <w:widowControl w:val="1"/>
        <w:spacing w:after="90" w:before="90" w:line="240" w:lineRule="auto"/>
        <w:ind w:left="90" w:right="9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  <w:ind w:left="0" w:right="0" w:firstLine="0"/>
      <w:contextualSpacing w:val="1"/>
    </w:pPr>
    <w:rPr>
      <w:b w:val="1"/>
      <w:i w:val="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25" w:before="225" w:lineRule="auto"/>
      <w:ind w:left="0" w:right="0" w:firstLine="0"/>
      <w:contextualSpacing w:val="1"/>
    </w:pPr>
    <w:rPr>
      <w:b w:val="1"/>
      <w:i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240" w:lineRule="auto"/>
      <w:ind w:left="0" w:right="0" w:firstLine="0"/>
      <w:contextualSpacing w:val="1"/>
    </w:pPr>
    <w:rPr>
      <w:b w:val="1"/>
      <w:i w:val="0"/>
    </w:rPr>
  </w:style>
  <w:style w:type="paragraph" w:styleId="Heading4">
    <w:name w:val="heading 4"/>
    <w:basedOn w:val="Normal"/>
    <w:next w:val="Normal"/>
    <w:pPr>
      <w:keepNext w:val="1"/>
      <w:keepLines w:val="1"/>
      <w:spacing w:after="255" w:before="255" w:lineRule="auto"/>
      <w:ind w:left="0" w:right="0" w:firstLine="0"/>
      <w:contextualSpacing w:val="1"/>
    </w:pPr>
    <w:rPr>
      <w:b w:val="1"/>
      <w:i w:val="0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255" w:before="255" w:lineRule="auto"/>
      <w:ind w:left="0" w:right="0" w:firstLine="0"/>
      <w:contextualSpacing w:val="1"/>
    </w:pPr>
    <w:rPr>
      <w:b w:val="1"/>
      <w:i w:val="0"/>
      <w:sz w:val="16"/>
      <w:szCs w:val="16"/>
    </w:rPr>
  </w:style>
  <w:style w:type="paragraph" w:styleId="Heading6">
    <w:name w:val="heading 6"/>
    <w:basedOn w:val="Normal"/>
    <w:next w:val="Normal"/>
    <w:pPr>
      <w:keepNext w:val="1"/>
      <w:keepLines w:val="1"/>
      <w:spacing w:after="360" w:before="360" w:lineRule="auto"/>
      <w:ind w:left="0" w:right="0" w:firstLine="0"/>
      <w:contextualSpacing w:val="1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